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 xml:space="preserve">附件4    </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福建省2023年“三支一扶”计划省外高校</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福建生源高校毕业生审核办法</w:t>
      </w:r>
    </w:p>
    <w:p>
      <w:pPr>
        <w:pStyle w:val="4"/>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一、审核机构</w:t>
      </w:r>
    </w:p>
    <w:p>
      <w:pPr>
        <w:pStyle w:val="4"/>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2023年福建省“三支一扶”计划报名人员审核考核工作由岗位所在设区市人社部门及毕业生所在院校共同负责。</w:t>
      </w:r>
    </w:p>
    <w:p>
      <w:pPr>
        <w:pStyle w:val="4"/>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二、审核对象</w:t>
      </w:r>
    </w:p>
    <w:p>
      <w:pPr>
        <w:pStyle w:val="4"/>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报名参加2023年福建省“三支一扶”计划的省外全日制普通高校福建生源高校毕业生。</w:t>
      </w:r>
    </w:p>
    <w:p>
      <w:pPr>
        <w:pStyle w:val="4"/>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三、审查内容</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（一）资格审核</w:t>
      </w:r>
    </w:p>
    <w:p>
      <w:pPr>
        <w:pStyle w:val="4"/>
        <w:shd w:val="clear" w:color="auto" w:fill="FFFFFF"/>
        <w:spacing w:before="0" w:beforeAutospacing="0" w:after="0" w:afterAutospacing="0" w:line="525" w:lineRule="atLeast"/>
        <w:ind w:firstLine="630"/>
        <w:jc w:val="both"/>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1.审核报名人员《报名表》信息，包括</w:t>
      </w:r>
      <w:r>
        <w:rPr>
          <w:rStyle w:val="7"/>
          <w:rFonts w:hint="eastAsia" w:ascii="仿宋_GB2312" w:hAnsi="微软雅黑" w:eastAsia="仿宋_GB2312"/>
          <w:color w:val="000000"/>
          <w:sz w:val="32"/>
          <w:szCs w:val="32"/>
        </w:rPr>
        <w:t>生源地</w:t>
      </w:r>
      <w:r>
        <w:rPr>
          <w:rStyle w:val="7"/>
          <w:rFonts w:hint="eastAsia" w:ascii="仿宋_GB2312" w:hAnsi="微软雅黑" w:eastAsia="仿宋_GB2312"/>
          <w:b w:val="0"/>
          <w:bCs w:val="0"/>
          <w:color w:val="000000"/>
          <w:sz w:val="32"/>
          <w:szCs w:val="32"/>
        </w:rPr>
        <w:t>（生源地指入学前户籍所在地）</w:t>
      </w:r>
      <w:r>
        <w:rPr>
          <w:rStyle w:val="7"/>
          <w:rFonts w:hint="eastAsia" w:ascii="仿宋_GB2312" w:hAnsi="微软雅黑" w:eastAsia="仿宋_GB2312"/>
          <w:color w:val="000000"/>
          <w:sz w:val="32"/>
          <w:szCs w:val="32"/>
        </w:rPr>
        <w:t>、民族、学历、专业、政治面貌</w:t>
      </w:r>
      <w:r>
        <w:rPr>
          <w:rFonts w:hint="eastAsia" w:ascii="仿宋_GB2312" w:hAnsi="微软雅黑" w:eastAsia="仿宋_GB2312"/>
          <w:color w:val="000000"/>
          <w:sz w:val="32"/>
          <w:szCs w:val="32"/>
        </w:rPr>
        <w:t>（包括群众、共青团员、入党积极分子、党员发展对象、中共预备党员、中共党员等）、</w:t>
      </w:r>
      <w:r>
        <w:rPr>
          <w:rStyle w:val="7"/>
          <w:rFonts w:hint="eastAsia" w:ascii="仿宋_GB2312" w:hAnsi="微软雅黑" w:eastAsia="仿宋_GB2312"/>
          <w:color w:val="000000"/>
          <w:sz w:val="32"/>
          <w:szCs w:val="32"/>
        </w:rPr>
        <w:t>在校奖惩情况</w:t>
      </w:r>
      <w:r>
        <w:rPr>
          <w:rFonts w:hint="eastAsia" w:ascii="仿宋_GB2312" w:hAnsi="微软雅黑" w:eastAsia="仿宋_GB2312"/>
          <w:color w:val="000000"/>
          <w:sz w:val="32"/>
          <w:szCs w:val="32"/>
        </w:rPr>
        <w:t>等信息是否真实准确。报名人员</w:t>
      </w:r>
      <w:r>
        <w:rPr>
          <w:rStyle w:val="7"/>
          <w:rFonts w:hint="eastAsia" w:ascii="仿宋_GB2312" w:hAnsi="微软雅黑" w:eastAsia="仿宋_GB2312"/>
          <w:color w:val="000000"/>
          <w:sz w:val="32"/>
          <w:szCs w:val="32"/>
        </w:rPr>
        <w:t>困难状况</w:t>
      </w:r>
      <w:r>
        <w:rPr>
          <w:rFonts w:hint="eastAsia" w:ascii="仿宋_GB2312" w:hAnsi="微软雅黑" w:eastAsia="仿宋_GB2312"/>
          <w:color w:val="000000"/>
          <w:sz w:val="32"/>
          <w:szCs w:val="32"/>
        </w:rPr>
        <w:t>（脱贫户家庭高校毕业生、城乡低保家庭高校毕业生、特困人员高校毕业生）由公共服务网通过大数据比对自动审核，系统显现</w:t>
      </w:r>
      <w:r>
        <w:rPr>
          <w:rStyle w:val="7"/>
          <w:rFonts w:hint="eastAsia" w:ascii="仿宋_GB2312" w:hAnsi="微软雅黑" w:eastAsia="仿宋_GB2312"/>
          <w:color w:val="000000"/>
          <w:sz w:val="32"/>
          <w:szCs w:val="32"/>
        </w:rPr>
        <w:t>“校验通过”</w:t>
      </w:r>
      <w:r>
        <w:rPr>
          <w:rFonts w:hint="eastAsia" w:ascii="仿宋_GB2312" w:hAnsi="微软雅黑" w:eastAsia="仿宋_GB2312"/>
          <w:color w:val="000000"/>
          <w:sz w:val="32"/>
          <w:szCs w:val="32"/>
        </w:rPr>
        <w:t>的，不需要上传材料，“校验不通过”但认为自己属于上述困难状况的报名人员，需自行上传佐证材料，由报考岗位所在设区市人社部门人工审核，院校无需审核。</w:t>
      </w:r>
    </w:p>
    <w:p>
      <w:pPr>
        <w:pStyle w:val="4"/>
        <w:shd w:val="clear" w:color="auto" w:fill="FFFFFF"/>
        <w:spacing w:before="0" w:beforeAutospacing="0" w:after="0" w:afterAutospacing="0" w:line="555" w:lineRule="atLeast"/>
        <w:ind w:firstLine="645"/>
        <w:jc w:val="both"/>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2.报名人员是否属于按照国家普通高等学校招生计划的全日制普通高校毕业生和国家统一下达招生计划，考试招生执行相同政策和标准的全日制、非全日制研究生</w:t>
      </w:r>
      <w:r>
        <w:rPr>
          <w:rStyle w:val="7"/>
          <w:rFonts w:hint="eastAsia" w:ascii="仿宋_GB2312" w:hAnsi="微软雅黑" w:eastAsia="仿宋_GB2312"/>
          <w:color w:val="000000"/>
          <w:sz w:val="32"/>
          <w:szCs w:val="32"/>
        </w:rPr>
        <w:t>（学历应规范填报为专科生毕业、本科生毕业、硕士生毕业）</w:t>
      </w:r>
      <w:r>
        <w:rPr>
          <w:rFonts w:hint="eastAsia" w:ascii="仿宋_GB2312" w:hAnsi="微软雅黑" w:eastAsia="仿宋_GB2312"/>
          <w:color w:val="000000"/>
          <w:sz w:val="32"/>
          <w:szCs w:val="32"/>
        </w:rPr>
        <w:t>。</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3.报名人员是否能在2023年8月31日及之前（研究生放宽至12月31日）取得毕业资格。应届毕业生统一认定为符合毕业时间条件。</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4.报名人员在校期间是否有违法违纪违规行为，并受过严重警告及以上处分。</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5.报名人员在读期间必修（主修）科目补考是否达到或超过3门或3次以上。</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（二）考核评分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1.专业成绩排名情况（满分15分）。按照报名人员所有学年学科总成绩在专业排名情况，进行量化评分</w:t>
      </w:r>
      <w:r>
        <w:rPr>
          <w:rFonts w:hint="eastAsia" w:ascii="仿宋_GB2312" w:hAnsi="微软雅黑" w:eastAsia="仿宋_GB2312"/>
          <w:color w:val="000000"/>
          <w:sz w:val="32"/>
          <w:szCs w:val="32"/>
        </w:rPr>
        <w:t>（如报名审核阶段，应届毕业生最后一学期/学年成绩未出的，按照已有学年学科总成绩排名评分，评分按照四舍五入取值，汇总表填报应精确到小数点后两位）：专业成绩排名前5%，得15分；专业成绩排名每增加1%，分数减少0.2分，如6%得14.8分、7%得14.6分，以此类推，59%得4.2分，60%得4分，专业成绩排名61%（含）以外，不得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2.获得荣誉（奖学金、奖项）情况（满分10分）。</w:t>
      </w:r>
      <w:r>
        <w:rPr>
          <w:rFonts w:hint="eastAsia" w:ascii="仿宋_GB2312" w:hAnsi="微软雅黑" w:eastAsia="仿宋_GB2312"/>
          <w:color w:val="000000"/>
          <w:sz w:val="32"/>
          <w:szCs w:val="32"/>
        </w:rPr>
        <w:t>根据报名人员在校获得荣誉（奖学金、奖项）情况，进行量化评分：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（1）获得国家级赛事奖项；获得省级及以上荣誉（奖学金）；青年马克思主义培养工程省级班结业学员,得10分。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（2）获得市级荣誉（奖学金）；青年马克思主义培养工程市级班结业学员，得8分。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（3）获得省级赛事奖项；获得校级荣誉（奖学金，含校级以上家庭经济困难学生奖学金）；青年马克思主义培养工程校级班结业学员，得5分。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获得荣誉包括在校获省级及以上、市级、校级</w:t>
      </w:r>
      <w:r>
        <w:rPr>
          <w:rFonts w:hint="eastAsia" w:ascii="仿宋_GB2312" w:hAnsi="微软雅黑" w:eastAsia="仿宋_GB2312"/>
          <w:b/>
          <w:bCs/>
          <w:color w:val="000000"/>
          <w:sz w:val="32"/>
          <w:szCs w:val="32"/>
        </w:rPr>
        <w:t>优秀学生干部、优秀学生、优秀团干</w:t>
      </w:r>
      <w:r>
        <w:rPr>
          <w:rFonts w:hint="eastAsia" w:ascii="仿宋_GB2312" w:hAnsi="微软雅黑" w:eastAsia="仿宋_GB2312"/>
          <w:b/>
          <w:bCs/>
          <w:sz w:val="32"/>
          <w:szCs w:val="32"/>
        </w:rPr>
        <w:t>、</w:t>
      </w:r>
      <w:r>
        <w:rPr>
          <w:rFonts w:hint="eastAsia" w:ascii="仿宋_GB2312" w:hAnsi="微软雅黑" w:eastAsia="仿宋_GB2312"/>
          <w:b/>
          <w:bCs/>
          <w:color w:val="000000"/>
          <w:sz w:val="32"/>
          <w:szCs w:val="32"/>
        </w:rPr>
        <w:t>三好学生、优秀毕业生</w:t>
      </w:r>
      <w:r>
        <w:rPr>
          <w:rFonts w:hint="eastAsia" w:ascii="仿宋_GB2312" w:hAnsi="微软雅黑" w:eastAsia="仿宋_GB2312"/>
          <w:color w:val="000000"/>
          <w:sz w:val="32"/>
          <w:szCs w:val="32"/>
        </w:rPr>
        <w:t>荣誉称号。获得奖学金不包括捐助类奖学金、助学金，国家励志奖学金等校级以上家庭经济困难类奖学金按照校级奖学金评分，获得家庭经济困难类奖学金报名人员已享受困难状况加分，也不再重复加分。获得奖项包括政府部门主办</w:t>
      </w:r>
      <w:r>
        <w:rPr>
          <w:rFonts w:hint="eastAsia" w:ascii="仿宋_GB2312" w:hAnsi="微软雅黑" w:eastAsia="仿宋_GB2312"/>
          <w:b/>
          <w:bCs/>
          <w:color w:val="000000"/>
          <w:sz w:val="32"/>
          <w:szCs w:val="32"/>
        </w:rPr>
        <w:t>省级及以上职业技能大赛、职业规划大赛、创新创业大赛三等奖及以上。</w:t>
      </w:r>
      <w:r>
        <w:rPr>
          <w:rStyle w:val="7"/>
          <w:rFonts w:hint="eastAsia" w:ascii="仿宋_GB2312" w:hAnsi="微软雅黑" w:eastAsia="仿宋_GB2312"/>
          <w:color w:val="000000"/>
          <w:sz w:val="32"/>
          <w:szCs w:val="32"/>
        </w:rPr>
        <w:t>荣誉（奖学金、奖项）以提供的证书为准（校级以上荣誉、奖学金、奖项证书应有政府部门公章，校级证书应有学校公章，不包括院校部处、二级学院或院系所发证书）</w:t>
      </w:r>
      <w:r>
        <w:rPr>
          <w:rFonts w:hint="eastAsia" w:ascii="仿宋_GB2312" w:hAnsi="微软雅黑" w:eastAsia="仿宋_GB2312"/>
          <w:color w:val="000000"/>
          <w:sz w:val="32"/>
          <w:szCs w:val="32"/>
        </w:rPr>
        <w:t>。</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以上荣誉（奖学金、奖项），按照就高原则评分，不累计加分。报名人员专业成绩排名、获得荣誉（奖学金、奖项）情况应是在</w:t>
      </w:r>
      <w:r>
        <w:rPr>
          <w:rStyle w:val="7"/>
          <w:rFonts w:hint="eastAsia" w:ascii="仿宋_GB2312" w:hAnsi="微软雅黑" w:eastAsia="仿宋_GB2312"/>
          <w:color w:val="000000"/>
          <w:sz w:val="32"/>
          <w:szCs w:val="32"/>
        </w:rPr>
        <w:t>报名学历期间</w:t>
      </w:r>
      <w:r>
        <w:rPr>
          <w:rFonts w:hint="eastAsia" w:ascii="仿宋_GB2312" w:hAnsi="微软雅黑" w:eastAsia="仿宋_GB2312"/>
          <w:color w:val="000000"/>
          <w:sz w:val="32"/>
          <w:szCs w:val="32"/>
        </w:rPr>
        <w:t>取得。</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黑体" w:hAnsi="黑体" w:eastAsia="黑体"/>
          <w:color w:val="000000"/>
          <w:sz w:val="32"/>
          <w:szCs w:val="32"/>
        </w:rPr>
        <w:t>四、审核方式</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由报名人员下载打印本人《报名表》连同本办法一起寄送所在学校院（系）审核。</w:t>
      </w:r>
      <w:r>
        <w:rPr>
          <w:rFonts w:hint="eastAsia" w:ascii="仿宋_GB2312" w:hAnsi="微软雅黑" w:eastAsia="仿宋_GB2312"/>
          <w:color w:val="000000"/>
          <w:sz w:val="32"/>
          <w:szCs w:val="32"/>
        </w:rPr>
        <w:t>毕业生所在学校院（系）按照本办法要求审核毕业生情况，如实填写《福建省2023年“三支一扶”计划省外高校福建生源毕业生报名人员考核汇总表》，加盖院校或就业工作部门公章后于</w:t>
      </w:r>
      <w:r>
        <w:rPr>
          <w:rStyle w:val="7"/>
          <w:rFonts w:hint="eastAsia" w:ascii="仿宋_GB2312" w:hAnsi="微软雅黑" w:eastAsia="仿宋_GB2312"/>
          <w:color w:val="000000"/>
          <w:sz w:val="32"/>
          <w:szCs w:val="32"/>
        </w:rPr>
        <w:t>6月30日</w:t>
      </w:r>
      <w:r>
        <w:rPr>
          <w:rFonts w:hint="eastAsia" w:ascii="仿宋_GB2312" w:hAnsi="微软雅黑" w:eastAsia="仿宋_GB2312"/>
          <w:color w:val="000000"/>
          <w:sz w:val="32"/>
          <w:szCs w:val="32"/>
        </w:rPr>
        <w:t>前</w:t>
      </w:r>
      <w:r>
        <w:rPr>
          <w:rFonts w:hint="eastAsia" w:ascii="仿宋_GB2312" w:hAnsi="微软雅黑" w:eastAsia="仿宋_GB2312"/>
          <w:bCs/>
          <w:color w:val="000000"/>
          <w:sz w:val="32"/>
          <w:szCs w:val="32"/>
        </w:rPr>
        <w:t>寄送至</w:t>
      </w:r>
      <w:r>
        <w:rPr>
          <w:rFonts w:hint="eastAsia" w:ascii="仿宋_GB2312" w:hAnsi="微软雅黑" w:eastAsia="仿宋_GB2312"/>
          <w:color w:val="000000"/>
          <w:sz w:val="32"/>
          <w:szCs w:val="32"/>
        </w:rPr>
        <w:t>报名岗位所在地市人社部门。</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黑体" w:hAnsi="黑体" w:eastAsia="黑体"/>
          <w:color w:val="000000"/>
          <w:sz w:val="32"/>
          <w:szCs w:val="32"/>
        </w:rPr>
        <w:t>五、工作要求</w:t>
      </w:r>
    </w:p>
    <w:p>
      <w:pPr>
        <w:pStyle w:val="4"/>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坚持“谁审核、谁把关、谁负责”的原则，福建省大中专毕业生就业工作领导小组办公室负责报名人员审核工作的统筹指导，各院校负责报名人员审核工作的具体组织实施，各有关设区市人社部门负责复核并代院校进行网上录入。审核过程中，若出现徇私舞弊或失职渎职的，将依照相关规定追究有关人员责任。</w:t>
      </w:r>
    </w:p>
    <w:p>
      <w:pPr>
        <w:snapToGrid w:val="0"/>
        <w:spacing w:line="520" w:lineRule="exact"/>
        <w:ind w:left="960" w:hanging="960" w:hangingChars="300"/>
        <w:rPr>
          <w:rFonts w:ascii="仿宋_GB2312" w:hAnsi="仿宋_GB2312" w:eastAsia="仿宋_GB2312" w:cs="仿宋_GB2312"/>
          <w:sz w:val="32"/>
          <w:szCs w:val="32"/>
        </w:rPr>
      </w:pPr>
    </w:p>
    <w:p>
      <w:pPr>
        <w:snapToGrid w:val="0"/>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（福建省龙岩市人社局“三支一扶”业务经办部门联系方式：</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联系人：杨女士， 联系电话：0597-3298291</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地址：龙岩市新罗区金融中心B2栋农业银行14楼          </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龙岩市公共就业和人才服务中心1425办公室）</w:t>
      </w:r>
    </w:p>
    <w:p>
      <w:pPr>
        <w:snapToGrid w:val="0"/>
        <w:spacing w:line="520" w:lineRule="exact"/>
        <w:ind w:left="960" w:hanging="960" w:hangingChars="300"/>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黑体" w:eastAsia="仿宋_GB2312" w:cs="Times New Roman"/>
          <w:sz w:val="32"/>
          <w:szCs w:val="32"/>
        </w:rPr>
        <w:sectPr>
          <w:pgSz w:w="11906" w:h="16838"/>
          <w:pgMar w:top="1440" w:right="1474" w:bottom="1440" w:left="1588" w:header="851" w:footer="992" w:gutter="0"/>
          <w:cols w:space="720" w:num="1"/>
          <w:docGrid w:type="linesAndChars" w:linePitch="312" w:charSpace="0"/>
        </w:sectPr>
      </w:pPr>
    </w:p>
    <w:p>
      <w:pPr>
        <w:spacing w:line="520" w:lineRule="exact"/>
        <w:jc w:val="center"/>
        <w:rPr>
          <w:rFonts w:ascii="宋体"/>
          <w:b/>
          <w:sz w:val="36"/>
          <w:szCs w:val="36"/>
        </w:rPr>
      </w:pPr>
      <w:r>
        <w:rPr>
          <w:rFonts w:hint="eastAsia" w:ascii="宋体"/>
          <w:b/>
          <w:sz w:val="36"/>
          <w:szCs w:val="36"/>
        </w:rPr>
        <w:t>福建省</w:t>
      </w:r>
      <w:r>
        <w:rPr>
          <w:rFonts w:ascii="宋体"/>
          <w:b/>
          <w:sz w:val="36"/>
          <w:szCs w:val="36"/>
        </w:rPr>
        <w:t>202</w:t>
      </w:r>
      <w:r>
        <w:rPr>
          <w:rFonts w:hint="eastAsia" w:ascii="宋体"/>
          <w:b/>
          <w:sz w:val="36"/>
          <w:szCs w:val="36"/>
        </w:rPr>
        <w:t>3年省级“三支一扶”计划省外高校福建生源毕业生报名人员考核汇总表</w:t>
      </w:r>
    </w:p>
    <w:p>
      <w:pPr>
        <w:spacing w:line="520" w:lineRule="exact"/>
        <w:jc w:val="center"/>
        <w:rPr>
          <w:rFonts w:ascii="宋体"/>
          <w:b/>
          <w:sz w:val="36"/>
          <w:szCs w:val="36"/>
        </w:rPr>
      </w:pPr>
      <w:r>
        <w:rPr>
          <w:rFonts w:hint="eastAsia" w:ascii="宋体"/>
          <w:b/>
          <w:sz w:val="36"/>
          <w:szCs w:val="36"/>
        </w:rPr>
        <w:t>（福建龙岩）</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学校：（盖章）</w:t>
      </w:r>
    </w:p>
    <w:tbl>
      <w:tblPr>
        <w:tblStyle w:val="5"/>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70"/>
        <w:gridCol w:w="653"/>
        <w:gridCol w:w="724"/>
        <w:gridCol w:w="615"/>
        <w:gridCol w:w="793"/>
        <w:gridCol w:w="794"/>
        <w:gridCol w:w="593"/>
        <w:gridCol w:w="593"/>
        <w:gridCol w:w="630"/>
        <w:gridCol w:w="1075"/>
        <w:gridCol w:w="1001"/>
        <w:gridCol w:w="885"/>
        <w:gridCol w:w="909"/>
        <w:gridCol w:w="1058"/>
        <w:gridCol w:w="115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42"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57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65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72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生源地（精确到县）</w:t>
            </w:r>
          </w:p>
        </w:tc>
        <w:tc>
          <w:tcPr>
            <w:tcW w:w="61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民族</w:t>
            </w:r>
          </w:p>
        </w:tc>
        <w:tc>
          <w:tcPr>
            <w:tcW w:w="79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政治面貌</w:t>
            </w:r>
          </w:p>
        </w:tc>
        <w:tc>
          <w:tcPr>
            <w:tcW w:w="79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是否属全日制毕业生</w:t>
            </w:r>
          </w:p>
        </w:tc>
        <w:tc>
          <w:tcPr>
            <w:tcW w:w="593" w:type="dxa"/>
            <w:vAlign w:val="center"/>
          </w:tcPr>
          <w:p>
            <w:pPr>
              <w:spacing w:line="400" w:lineRule="exact"/>
              <w:jc w:val="center"/>
              <w:rPr>
                <w:rFonts w:ascii="仿宋_GB2312" w:hAnsi="仿宋_GB2312" w:eastAsia="仿宋_GB2312" w:cs="仿宋_GB2312"/>
                <w:b/>
                <w:bCs/>
                <w:sz w:val="24"/>
              </w:rPr>
            </w:pPr>
            <w:r>
              <w:rPr>
                <w:rFonts w:ascii="仿宋_GB2312" w:hAnsi="仿宋_GB2312" w:eastAsia="仿宋_GB2312" w:cs="仿宋_GB2312"/>
                <w:b/>
                <w:bCs/>
                <w:sz w:val="24"/>
              </w:rPr>
              <w:t>毕业时间</w:t>
            </w:r>
          </w:p>
        </w:tc>
        <w:tc>
          <w:tcPr>
            <w:tcW w:w="59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63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tc>
        <w:tc>
          <w:tcPr>
            <w:tcW w:w="107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是否有违法违纪违规行为</w:t>
            </w:r>
          </w:p>
        </w:tc>
        <w:tc>
          <w:tcPr>
            <w:tcW w:w="100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必修（主修）科目是否达标</w:t>
            </w:r>
          </w:p>
        </w:tc>
        <w:tc>
          <w:tcPr>
            <w:tcW w:w="88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报名单位</w:t>
            </w:r>
          </w:p>
        </w:tc>
        <w:tc>
          <w:tcPr>
            <w:tcW w:w="909"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专业成绩排名得分</w:t>
            </w:r>
          </w:p>
        </w:tc>
        <w:tc>
          <w:tcPr>
            <w:tcW w:w="1058"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w:t>
            </w:r>
            <w:r>
              <w:rPr>
                <w:rFonts w:ascii="仿宋_GB2312" w:hAnsi="仿宋_GB2312" w:eastAsia="仿宋_GB2312" w:cs="仿宋_GB2312"/>
                <w:b/>
                <w:bCs/>
                <w:sz w:val="24"/>
              </w:rPr>
              <w:t>%</w:t>
            </w:r>
            <w:r>
              <w:rPr>
                <w:rFonts w:hint="eastAsia" w:ascii="仿宋_GB2312" w:hAnsi="仿宋_GB2312" w:eastAsia="仿宋_GB2312" w:cs="仿宋_GB2312"/>
                <w:b/>
                <w:bCs/>
                <w:sz w:val="24"/>
              </w:rPr>
              <w:t>，精确到小数点后两位）</w:t>
            </w:r>
          </w:p>
        </w:tc>
        <w:tc>
          <w:tcPr>
            <w:tcW w:w="115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获得荣誉（奖学金、奖项）情况得分</w:t>
            </w:r>
          </w:p>
        </w:tc>
        <w:tc>
          <w:tcPr>
            <w:tcW w:w="1638"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2" w:type="dxa"/>
            <w:vAlign w:val="center"/>
          </w:tcPr>
          <w:p>
            <w:pPr>
              <w:spacing w:line="520" w:lineRule="exact"/>
              <w:jc w:val="center"/>
              <w:rPr>
                <w:rFonts w:ascii="仿宋_GB2312"/>
                <w:sz w:val="24"/>
              </w:rPr>
            </w:pPr>
          </w:p>
        </w:tc>
        <w:tc>
          <w:tcPr>
            <w:tcW w:w="570" w:type="dxa"/>
            <w:vAlign w:val="center"/>
          </w:tcPr>
          <w:p>
            <w:pPr>
              <w:spacing w:line="520" w:lineRule="exact"/>
              <w:jc w:val="center"/>
              <w:rPr>
                <w:rFonts w:ascii="仿宋_GB2312"/>
                <w:sz w:val="24"/>
              </w:rPr>
            </w:pPr>
          </w:p>
        </w:tc>
        <w:tc>
          <w:tcPr>
            <w:tcW w:w="653" w:type="dxa"/>
            <w:vAlign w:val="center"/>
          </w:tcPr>
          <w:p>
            <w:pPr>
              <w:spacing w:line="520" w:lineRule="exact"/>
              <w:jc w:val="center"/>
              <w:rPr>
                <w:rFonts w:ascii="仿宋_GB2312"/>
                <w:sz w:val="24"/>
              </w:rPr>
            </w:pPr>
          </w:p>
        </w:tc>
        <w:tc>
          <w:tcPr>
            <w:tcW w:w="724" w:type="dxa"/>
            <w:vAlign w:val="center"/>
          </w:tcPr>
          <w:p>
            <w:pPr>
              <w:spacing w:line="520" w:lineRule="exact"/>
              <w:jc w:val="center"/>
              <w:rPr>
                <w:rFonts w:ascii="仿宋_GB2312"/>
                <w:sz w:val="24"/>
              </w:rPr>
            </w:pPr>
          </w:p>
        </w:tc>
        <w:tc>
          <w:tcPr>
            <w:tcW w:w="615" w:type="dxa"/>
            <w:vAlign w:val="center"/>
          </w:tcPr>
          <w:p>
            <w:pPr>
              <w:spacing w:line="520" w:lineRule="exact"/>
              <w:jc w:val="center"/>
              <w:rPr>
                <w:rFonts w:ascii="仿宋_GB2312"/>
                <w:sz w:val="24"/>
              </w:rPr>
            </w:pPr>
          </w:p>
        </w:tc>
        <w:tc>
          <w:tcPr>
            <w:tcW w:w="793" w:type="dxa"/>
            <w:vAlign w:val="center"/>
          </w:tcPr>
          <w:p>
            <w:pPr>
              <w:spacing w:line="520" w:lineRule="exact"/>
              <w:jc w:val="center"/>
              <w:rPr>
                <w:rFonts w:ascii="仿宋_GB2312"/>
                <w:sz w:val="24"/>
              </w:rPr>
            </w:pPr>
          </w:p>
        </w:tc>
        <w:tc>
          <w:tcPr>
            <w:tcW w:w="794"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630" w:type="dxa"/>
            <w:vAlign w:val="center"/>
          </w:tcPr>
          <w:p>
            <w:pPr>
              <w:spacing w:line="520" w:lineRule="exact"/>
              <w:jc w:val="center"/>
              <w:rPr>
                <w:rFonts w:ascii="仿宋_GB2312"/>
                <w:sz w:val="24"/>
              </w:rPr>
            </w:pPr>
          </w:p>
        </w:tc>
        <w:tc>
          <w:tcPr>
            <w:tcW w:w="1075" w:type="dxa"/>
            <w:vAlign w:val="center"/>
          </w:tcPr>
          <w:p>
            <w:pPr>
              <w:spacing w:line="520" w:lineRule="exact"/>
              <w:jc w:val="center"/>
              <w:rPr>
                <w:rFonts w:ascii="仿宋_GB2312"/>
                <w:sz w:val="24"/>
              </w:rPr>
            </w:pPr>
          </w:p>
        </w:tc>
        <w:tc>
          <w:tcPr>
            <w:tcW w:w="1001" w:type="dxa"/>
            <w:vAlign w:val="center"/>
          </w:tcPr>
          <w:p>
            <w:pPr>
              <w:spacing w:line="520" w:lineRule="exact"/>
              <w:jc w:val="center"/>
              <w:rPr>
                <w:rFonts w:ascii="仿宋_GB2312"/>
                <w:sz w:val="24"/>
              </w:rPr>
            </w:pPr>
          </w:p>
        </w:tc>
        <w:tc>
          <w:tcPr>
            <w:tcW w:w="885"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1058" w:type="dxa"/>
            <w:vAlign w:val="center"/>
          </w:tcPr>
          <w:p>
            <w:pPr>
              <w:spacing w:line="520" w:lineRule="exact"/>
              <w:jc w:val="center"/>
              <w:rPr>
                <w:rFonts w:ascii="仿宋_GB2312"/>
                <w:sz w:val="24"/>
              </w:rPr>
            </w:pPr>
          </w:p>
        </w:tc>
        <w:tc>
          <w:tcPr>
            <w:tcW w:w="1151" w:type="dxa"/>
            <w:vAlign w:val="center"/>
          </w:tcPr>
          <w:p>
            <w:pPr>
              <w:spacing w:line="520" w:lineRule="exact"/>
              <w:jc w:val="center"/>
              <w:rPr>
                <w:rFonts w:ascii="仿宋_GB2312"/>
                <w:sz w:val="24"/>
              </w:rPr>
            </w:pPr>
          </w:p>
        </w:tc>
        <w:tc>
          <w:tcPr>
            <w:tcW w:w="1638"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2" w:type="dxa"/>
            <w:vAlign w:val="center"/>
          </w:tcPr>
          <w:p>
            <w:pPr>
              <w:spacing w:line="520" w:lineRule="exact"/>
              <w:jc w:val="center"/>
              <w:rPr>
                <w:rFonts w:ascii="仿宋_GB2312"/>
                <w:sz w:val="24"/>
              </w:rPr>
            </w:pPr>
          </w:p>
        </w:tc>
        <w:tc>
          <w:tcPr>
            <w:tcW w:w="570" w:type="dxa"/>
            <w:vAlign w:val="center"/>
          </w:tcPr>
          <w:p>
            <w:pPr>
              <w:spacing w:line="520" w:lineRule="exact"/>
              <w:jc w:val="center"/>
              <w:rPr>
                <w:rFonts w:ascii="仿宋_GB2312"/>
                <w:sz w:val="24"/>
              </w:rPr>
            </w:pPr>
          </w:p>
        </w:tc>
        <w:tc>
          <w:tcPr>
            <w:tcW w:w="653" w:type="dxa"/>
            <w:vAlign w:val="center"/>
          </w:tcPr>
          <w:p>
            <w:pPr>
              <w:spacing w:line="520" w:lineRule="exact"/>
              <w:jc w:val="center"/>
              <w:rPr>
                <w:rFonts w:ascii="仿宋_GB2312"/>
                <w:sz w:val="24"/>
              </w:rPr>
            </w:pPr>
          </w:p>
        </w:tc>
        <w:tc>
          <w:tcPr>
            <w:tcW w:w="724" w:type="dxa"/>
            <w:vAlign w:val="center"/>
          </w:tcPr>
          <w:p>
            <w:pPr>
              <w:spacing w:line="520" w:lineRule="exact"/>
              <w:jc w:val="center"/>
              <w:rPr>
                <w:rFonts w:ascii="仿宋_GB2312"/>
                <w:sz w:val="24"/>
              </w:rPr>
            </w:pPr>
          </w:p>
        </w:tc>
        <w:tc>
          <w:tcPr>
            <w:tcW w:w="615" w:type="dxa"/>
            <w:vAlign w:val="center"/>
          </w:tcPr>
          <w:p>
            <w:pPr>
              <w:spacing w:line="520" w:lineRule="exact"/>
              <w:jc w:val="center"/>
              <w:rPr>
                <w:rFonts w:ascii="仿宋_GB2312"/>
                <w:sz w:val="24"/>
              </w:rPr>
            </w:pPr>
          </w:p>
        </w:tc>
        <w:tc>
          <w:tcPr>
            <w:tcW w:w="793" w:type="dxa"/>
            <w:vAlign w:val="center"/>
          </w:tcPr>
          <w:p>
            <w:pPr>
              <w:spacing w:line="520" w:lineRule="exact"/>
              <w:jc w:val="center"/>
              <w:rPr>
                <w:rFonts w:ascii="仿宋_GB2312"/>
                <w:sz w:val="24"/>
              </w:rPr>
            </w:pPr>
          </w:p>
        </w:tc>
        <w:tc>
          <w:tcPr>
            <w:tcW w:w="794"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630" w:type="dxa"/>
            <w:vAlign w:val="center"/>
          </w:tcPr>
          <w:p>
            <w:pPr>
              <w:spacing w:line="520" w:lineRule="exact"/>
              <w:jc w:val="center"/>
              <w:rPr>
                <w:rFonts w:ascii="仿宋_GB2312"/>
                <w:sz w:val="24"/>
              </w:rPr>
            </w:pPr>
          </w:p>
        </w:tc>
        <w:tc>
          <w:tcPr>
            <w:tcW w:w="1075" w:type="dxa"/>
            <w:vAlign w:val="center"/>
          </w:tcPr>
          <w:p>
            <w:pPr>
              <w:spacing w:line="520" w:lineRule="exact"/>
              <w:jc w:val="center"/>
              <w:rPr>
                <w:rFonts w:ascii="仿宋_GB2312"/>
                <w:sz w:val="24"/>
              </w:rPr>
            </w:pPr>
          </w:p>
        </w:tc>
        <w:tc>
          <w:tcPr>
            <w:tcW w:w="1001" w:type="dxa"/>
            <w:vAlign w:val="center"/>
          </w:tcPr>
          <w:p>
            <w:pPr>
              <w:spacing w:line="520" w:lineRule="exact"/>
              <w:jc w:val="center"/>
              <w:rPr>
                <w:rFonts w:ascii="仿宋_GB2312"/>
                <w:sz w:val="24"/>
              </w:rPr>
            </w:pPr>
          </w:p>
        </w:tc>
        <w:tc>
          <w:tcPr>
            <w:tcW w:w="885"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1058" w:type="dxa"/>
            <w:vAlign w:val="center"/>
          </w:tcPr>
          <w:p>
            <w:pPr>
              <w:spacing w:line="520" w:lineRule="exact"/>
              <w:jc w:val="center"/>
              <w:rPr>
                <w:rFonts w:ascii="仿宋_GB2312"/>
                <w:sz w:val="24"/>
              </w:rPr>
            </w:pPr>
          </w:p>
        </w:tc>
        <w:tc>
          <w:tcPr>
            <w:tcW w:w="1151" w:type="dxa"/>
            <w:vAlign w:val="center"/>
          </w:tcPr>
          <w:p>
            <w:pPr>
              <w:spacing w:line="520" w:lineRule="exact"/>
              <w:jc w:val="center"/>
              <w:rPr>
                <w:rFonts w:ascii="仿宋_GB2312"/>
                <w:sz w:val="24"/>
              </w:rPr>
            </w:pPr>
          </w:p>
        </w:tc>
        <w:tc>
          <w:tcPr>
            <w:tcW w:w="1638" w:type="dxa"/>
            <w:vAlign w:val="center"/>
          </w:tcPr>
          <w:p>
            <w:pPr>
              <w:spacing w:line="520" w:lineRule="exact"/>
              <w:jc w:val="center"/>
              <w:rPr>
                <w:rFonts w:ascii="仿宋_GB2312"/>
                <w:sz w:val="24"/>
              </w:rPr>
            </w:pPr>
          </w:p>
        </w:tc>
      </w:tr>
    </w:tbl>
    <w:p>
      <w:pPr>
        <w:spacing w:line="480" w:lineRule="exact"/>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Cs/>
          <w:sz w:val="24"/>
          <w:szCs w:val="24"/>
        </w:rPr>
        <w:t>1.“是否有违法违纪行为”：报名人员在校期间是否有</w:t>
      </w:r>
      <w:r>
        <w:rPr>
          <w:rFonts w:hint="eastAsia" w:ascii="宋体" w:hAnsi="宋体" w:eastAsia="宋体" w:cs="宋体"/>
          <w:sz w:val="24"/>
          <w:szCs w:val="24"/>
        </w:rPr>
        <w:t>违法违纪违规行为并受过严重警告及以上处分的；</w:t>
      </w:r>
    </w:p>
    <w:p>
      <w:pPr>
        <w:spacing w:line="480" w:lineRule="exac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rPr>
        <w:t>2</w:t>
      </w:r>
      <w:r>
        <w:rPr>
          <w:rFonts w:hint="eastAsia" w:ascii="宋体" w:hAnsi="宋体" w:eastAsia="宋体" w:cs="宋体"/>
          <w:sz w:val="24"/>
          <w:szCs w:val="24"/>
        </w:rPr>
        <w:t>.“必修（主修）科目是否达标”：</w:t>
      </w:r>
      <w:r>
        <w:rPr>
          <w:rFonts w:hint="eastAsia" w:ascii="宋体" w:hAnsi="宋体" w:eastAsia="宋体" w:cs="宋体"/>
          <w:bCs/>
          <w:sz w:val="24"/>
          <w:szCs w:val="24"/>
        </w:rPr>
        <w:t>报名人员</w:t>
      </w:r>
      <w:r>
        <w:rPr>
          <w:rFonts w:hint="eastAsia" w:ascii="宋体" w:hAnsi="宋体" w:eastAsia="宋体" w:cs="宋体"/>
          <w:sz w:val="24"/>
          <w:szCs w:val="24"/>
        </w:rPr>
        <w:t>在读期间必修（主修）科目补考3门或3次（含3门或3次）以上为不达标，填“否”；</w:t>
      </w:r>
    </w:p>
    <w:p>
      <w:pPr>
        <w:spacing w:line="480" w:lineRule="exact"/>
        <w:rPr>
          <w:rFonts w:ascii="宋体" w:hAnsi="宋体" w:eastAsia="宋体" w:cs="宋体"/>
          <w:sz w:val="24"/>
          <w:szCs w:val="24"/>
        </w:rPr>
      </w:pPr>
      <w:r>
        <w:rPr>
          <w:rFonts w:hint="eastAsia" w:ascii="宋体" w:hAnsi="宋体" w:eastAsia="宋体" w:cs="宋体"/>
          <w:bCs/>
          <w:sz w:val="24"/>
          <w:szCs w:val="24"/>
        </w:rPr>
        <w:t xml:space="preserve">    3.获得荣誉（奖学金、奖项）情况得分按就高不重复原则评分；</w:t>
      </w:r>
    </w:p>
    <w:p>
      <w:pPr>
        <w:spacing w:line="520" w:lineRule="exact"/>
        <w:rPr>
          <w:rFonts w:ascii="宋体" w:hAnsi="宋体" w:eastAsia="宋体" w:cs="宋体"/>
          <w:bCs/>
          <w:sz w:val="24"/>
          <w:szCs w:val="24"/>
        </w:rPr>
      </w:pPr>
      <w:r>
        <w:rPr>
          <w:rFonts w:hint="eastAsia" w:ascii="宋体" w:hAnsi="宋体" w:eastAsia="宋体" w:cs="宋体"/>
          <w:sz w:val="24"/>
          <w:szCs w:val="24"/>
        </w:rPr>
        <w:t xml:space="preserve">    4.</w:t>
      </w:r>
      <w:r>
        <w:rPr>
          <w:rFonts w:hint="eastAsia" w:ascii="宋体" w:hAnsi="宋体" w:eastAsia="宋体" w:cs="宋体"/>
          <w:bCs/>
          <w:sz w:val="24"/>
          <w:szCs w:val="24"/>
        </w:rPr>
        <w:t>各院校应于6月30日前（以寄出邮戳为准）将本表加盖院校或就业工作部门公章后寄送龙岩市人社局，逾期不予受理。</w:t>
      </w:r>
    </w:p>
    <w:p>
      <w:pPr>
        <w:spacing w:line="520" w:lineRule="exact"/>
        <w:rPr>
          <w:sz w:val="24"/>
          <w:szCs w:val="24"/>
        </w:rPr>
      </w:pPr>
      <w:r>
        <w:rPr>
          <w:rFonts w:hint="eastAsia"/>
          <w:sz w:val="24"/>
          <w:szCs w:val="24"/>
        </w:rPr>
        <w:t xml:space="preserve">高校填表人： </w:t>
      </w:r>
      <w:r>
        <w:rPr>
          <w:sz w:val="24"/>
          <w:szCs w:val="24"/>
        </w:rPr>
        <w:t>（必填）</w:t>
      </w:r>
      <w:r>
        <w:rPr>
          <w:rFonts w:hint="eastAsia"/>
          <w:sz w:val="24"/>
          <w:szCs w:val="24"/>
        </w:rPr>
        <w:t xml:space="preserve">                                              高校联系电话：</w:t>
      </w:r>
      <w:r>
        <w:rPr>
          <w:sz w:val="24"/>
          <w:szCs w:val="24"/>
        </w:rPr>
        <w:t>（必填）</w:t>
      </w:r>
    </w:p>
    <w:p>
      <w:bookmarkStart w:id="0" w:name="_GoBack"/>
      <w:bookmarkEnd w:id="0"/>
    </w:p>
    <w:sectPr>
      <w:headerReference r:id="rId3"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039CA"/>
    <w:rsid w:val="31D03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2023-05-15T01:36:00Z</dcterms:created>
  <dc:creator>.</dc:creator>
  <cp:lastModifiedBy>.</cp:lastModifiedBy>
  <dcterms:modified xsi:type="dcterms:W3CDTF">2023-05-15T01:36:35Z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